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 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 </w:t>
      </w:r>
    </w:p>
    <w:p w:rsidR="00000000" w:rsidRDefault="00042F39">
      <w:pPr>
        <w:pStyle w:val="t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ПРАВИТЕЛЬСТВО РОССИЙСКОЙ ФЕДЕРАЦИИ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 </w:t>
      </w:r>
    </w:p>
    <w:p w:rsidR="00000000" w:rsidRDefault="00042F39">
      <w:pPr>
        <w:pStyle w:val="t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ПОСТАНОВЛЕНИЕ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 </w:t>
      </w:r>
    </w:p>
    <w:p w:rsidR="00000000" w:rsidRDefault="00042F39">
      <w:pPr>
        <w:pStyle w:val="t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от 21 января 2015 г. № 29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 </w:t>
      </w:r>
    </w:p>
    <w:p w:rsidR="00000000" w:rsidRDefault="00042F39">
      <w:pPr>
        <w:pStyle w:val="c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МОСКВА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 </w:t>
      </w:r>
    </w:p>
    <w:p w:rsidR="00000000" w:rsidRDefault="00042F39">
      <w:pPr>
        <w:pStyle w:val="t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</w:t>
      </w:r>
      <w:r>
        <w:rPr>
          <w:color w:val="333333"/>
          <w:sz w:val="76"/>
          <w:szCs w:val="76"/>
        </w:rPr>
        <w:t>тивными правовыми актами Российской Федерации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 </w:t>
      </w:r>
    </w:p>
    <w:p w:rsidR="00000000" w:rsidRDefault="00042F39">
      <w:pPr>
        <w:pStyle w:val="c"/>
        <w:spacing w:line="300" w:lineRule="auto"/>
        <w:divId w:val="226957033"/>
        <w:rPr>
          <w:color w:val="333333"/>
          <w:sz w:val="76"/>
          <w:szCs w:val="76"/>
        </w:rPr>
      </w:pPr>
      <w:r>
        <w:rPr>
          <w:rStyle w:val="mark"/>
          <w:color w:val="333333"/>
          <w:sz w:val="76"/>
          <w:szCs w:val="76"/>
        </w:rPr>
        <w:t>(В редакции постановлений Правительства Российской Федерации от 09.08.2016 № 762, от 10.07.2020 № 1017)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 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 xml:space="preserve">В соответствии со статьей 12 Федерального закона </w:t>
      </w:r>
      <w:r>
        <w:rPr>
          <w:rStyle w:val="cmd"/>
          <w:color w:val="333333"/>
          <w:sz w:val="76"/>
          <w:szCs w:val="76"/>
        </w:rPr>
        <w:t>"О противодействии коррупции"</w:t>
      </w:r>
      <w:r>
        <w:rPr>
          <w:color w:val="333333"/>
          <w:sz w:val="76"/>
          <w:szCs w:val="76"/>
        </w:rPr>
        <w:t xml:space="preserve"> </w:t>
      </w:r>
      <w:r>
        <w:rPr>
          <w:color w:val="333333"/>
          <w:sz w:val="76"/>
          <w:szCs w:val="76"/>
        </w:rPr>
        <w:t>Правительство Российской Федерации постановляет: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 xml:space="preserve"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</w:t>
      </w:r>
      <w:r>
        <w:rPr>
          <w:color w:val="333333"/>
          <w:sz w:val="76"/>
          <w:szCs w:val="76"/>
        </w:rPr>
        <w:t>муниципальной службы, перечень которых устанавливается нормативными правовыми актами Российской Федерации.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 xml:space="preserve">2. Признать утратившим силу постановление Правительства Российской Федерации </w:t>
      </w:r>
      <w:r>
        <w:rPr>
          <w:rStyle w:val="cmd"/>
          <w:color w:val="333333"/>
          <w:sz w:val="76"/>
          <w:szCs w:val="76"/>
        </w:rPr>
        <w:t>от 8 сентября 2010 г. № 700</w:t>
      </w:r>
      <w:r>
        <w:rPr>
          <w:color w:val="333333"/>
          <w:sz w:val="76"/>
          <w:szCs w:val="76"/>
        </w:rPr>
        <w:t xml:space="preserve"> "О порядке сообщения работодателем при заклю</w:t>
      </w:r>
      <w:r>
        <w:rPr>
          <w:color w:val="333333"/>
          <w:sz w:val="76"/>
          <w:szCs w:val="76"/>
        </w:rPr>
        <w:t>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</w:t>
      </w:r>
      <w:r>
        <w:rPr>
          <w:color w:val="333333"/>
          <w:sz w:val="76"/>
          <w:szCs w:val="76"/>
        </w:rPr>
        <w:t>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№ 37, ст. 4712).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 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 </w:t>
      </w:r>
    </w:p>
    <w:p w:rsidR="00000000" w:rsidRDefault="00042F39">
      <w:pPr>
        <w:pStyle w:val="i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Председатель Правител</w:t>
      </w:r>
      <w:r>
        <w:rPr>
          <w:color w:val="333333"/>
          <w:sz w:val="76"/>
          <w:szCs w:val="76"/>
        </w:rPr>
        <w:t>ьства</w:t>
      </w:r>
      <w:r>
        <w:rPr>
          <w:color w:val="333333"/>
          <w:sz w:val="76"/>
          <w:szCs w:val="76"/>
        </w:rPr>
        <w:br/>
        <w:t>Российской Федерации                               Д.Медведев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 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 </w:t>
      </w:r>
    </w:p>
    <w:p w:rsidR="00000000" w:rsidRDefault="00042F39">
      <w:pPr>
        <w:pStyle w:val="s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УТВЕРЖДЕНЫ</w:t>
      </w:r>
      <w:r>
        <w:rPr>
          <w:color w:val="333333"/>
          <w:sz w:val="76"/>
          <w:szCs w:val="76"/>
        </w:rPr>
        <w:br/>
        <w:t>постановлением Правительства</w:t>
      </w:r>
      <w:r>
        <w:rPr>
          <w:color w:val="333333"/>
          <w:sz w:val="76"/>
          <w:szCs w:val="76"/>
        </w:rPr>
        <w:br/>
        <w:t>Российской Федерации</w:t>
      </w:r>
      <w:r>
        <w:rPr>
          <w:color w:val="333333"/>
          <w:sz w:val="76"/>
          <w:szCs w:val="76"/>
        </w:rPr>
        <w:br/>
        <w:t>от 21 января 2015 г. № 29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 </w:t>
      </w:r>
    </w:p>
    <w:p w:rsidR="00000000" w:rsidRDefault="00042F39">
      <w:pPr>
        <w:pStyle w:val="t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ПРАВИЛА</w:t>
      </w:r>
      <w:r>
        <w:rPr>
          <w:color w:val="333333"/>
          <w:sz w:val="76"/>
          <w:szCs w:val="76"/>
        </w:rPr>
        <w:br/>
        <w:t>сообщения работодателем о заключении трудового или гражданско-правового договора на вып</w:t>
      </w:r>
      <w:r>
        <w:rPr>
          <w:color w:val="333333"/>
          <w:sz w:val="76"/>
          <w:szCs w:val="76"/>
        </w:rPr>
        <w:t>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 </w:t>
      </w:r>
    </w:p>
    <w:p w:rsidR="00000000" w:rsidRDefault="00042F39">
      <w:pPr>
        <w:pStyle w:val="c"/>
        <w:spacing w:line="300" w:lineRule="auto"/>
        <w:divId w:val="226957033"/>
        <w:rPr>
          <w:color w:val="333333"/>
          <w:sz w:val="76"/>
          <w:szCs w:val="76"/>
        </w:rPr>
      </w:pPr>
      <w:r>
        <w:rPr>
          <w:rStyle w:val="mark"/>
          <w:color w:val="333333"/>
          <w:sz w:val="76"/>
          <w:szCs w:val="76"/>
        </w:rPr>
        <w:t xml:space="preserve">(В редакции постановлений Правительства Российской Федерации </w:t>
      </w:r>
      <w:r>
        <w:rPr>
          <w:rStyle w:val="mark"/>
          <w:color w:val="333333"/>
          <w:sz w:val="76"/>
          <w:szCs w:val="76"/>
        </w:rPr>
        <w:t>от 09.08.2016 № 762, от 10.07.2020 № 1017)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 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1. </w:t>
      </w:r>
      <w:r>
        <w:rPr>
          <w:color w:val="333333"/>
          <w:sz w:val="76"/>
          <w:szCs w:val="76"/>
        </w:rPr>
        <w:t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</w:t>
      </w:r>
      <w:r>
        <w:rPr>
          <w:color w:val="333333"/>
          <w:sz w:val="76"/>
          <w:szCs w:val="76"/>
        </w:rPr>
        <w:t>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гражданин), представителю нанимателя</w:t>
      </w:r>
      <w:r>
        <w:rPr>
          <w:color w:val="333333"/>
          <w:sz w:val="76"/>
          <w:szCs w:val="76"/>
        </w:rPr>
        <w:t xml:space="preserve"> (работодателю) государственного или муниципального служащего по последнему месту его службы.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</w:t>
      </w:r>
      <w:r>
        <w:rPr>
          <w:color w:val="333333"/>
          <w:sz w:val="76"/>
          <w:szCs w:val="76"/>
        </w:rPr>
        <w:t>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3. Сообщение оформляется на бланке организации и подписывается ее руково</w:t>
      </w:r>
      <w:r>
        <w:rPr>
          <w:color w:val="333333"/>
          <w:sz w:val="76"/>
          <w:szCs w:val="76"/>
        </w:rPr>
        <w:t xml:space="preserve">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</w:t>
      </w:r>
      <w:r>
        <w:rPr>
          <w:rStyle w:val="ed"/>
          <w:color w:val="333333"/>
          <w:sz w:val="76"/>
          <w:szCs w:val="76"/>
        </w:rPr>
        <w:t>или печатью кадровой службы (при наличии печатей</w:t>
      </w:r>
      <w:r>
        <w:rPr>
          <w:rStyle w:val="ed"/>
          <w:color w:val="333333"/>
          <w:sz w:val="76"/>
          <w:szCs w:val="76"/>
        </w:rPr>
        <w:t>)</w:t>
      </w:r>
      <w:r>
        <w:rPr>
          <w:color w:val="333333"/>
          <w:sz w:val="76"/>
          <w:szCs w:val="76"/>
        </w:rPr>
        <w:t>.</w:t>
      </w:r>
      <w:r>
        <w:rPr>
          <w:rStyle w:val="mark"/>
          <w:color w:val="333333"/>
          <w:sz w:val="76"/>
          <w:szCs w:val="76"/>
        </w:rPr>
        <w:t xml:space="preserve"> (В редакции Постановления Правительства Российской Федерации от 09.08.2016  № 762)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</w:t>
      </w:r>
      <w:r>
        <w:rPr>
          <w:color w:val="333333"/>
          <w:sz w:val="76"/>
          <w:szCs w:val="76"/>
        </w:rPr>
        <w:t>жданско-правового договора.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а) фамилия, имя, отчество (при наличии) гражданина (в случае, е</w:t>
      </w:r>
      <w:r>
        <w:rPr>
          <w:color w:val="333333"/>
          <w:sz w:val="76"/>
          <w:szCs w:val="76"/>
        </w:rPr>
        <w:t>сли фамилия, имя или отчество изменялись, указываются прежние);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б) число, месяц, год и место рождения гражданина;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</w:t>
      </w:r>
      <w:r>
        <w:rPr>
          <w:color w:val="333333"/>
          <w:sz w:val="76"/>
          <w:szCs w:val="76"/>
        </w:rPr>
        <w:t>нной   или   муниципальной   службы    (по    сведениям, содержащимся в трудовой книжке </w:t>
      </w:r>
      <w:r>
        <w:rPr>
          <w:rStyle w:val="ed"/>
          <w:color w:val="333333"/>
          <w:sz w:val="76"/>
          <w:szCs w:val="76"/>
        </w:rPr>
        <w:t>и (или) сведениях о трудовой деятельности, предусмотренных статьей 66</w:t>
      </w:r>
      <w:r>
        <w:rPr>
          <w:rStyle w:val="w91"/>
          <w:color w:val="333333"/>
          <w:sz w:val="76"/>
          <w:szCs w:val="76"/>
        </w:rPr>
        <w:t>1</w:t>
      </w:r>
      <w:r>
        <w:rPr>
          <w:rStyle w:val="ed"/>
          <w:color w:val="333333"/>
          <w:sz w:val="76"/>
          <w:szCs w:val="76"/>
        </w:rPr>
        <w:t xml:space="preserve"> Трудового кодекса Российской Федерации, за период прохождения государственной или муниципальной с</w:t>
      </w:r>
      <w:r>
        <w:rPr>
          <w:rStyle w:val="ed"/>
          <w:color w:val="333333"/>
          <w:sz w:val="76"/>
          <w:szCs w:val="76"/>
        </w:rPr>
        <w:t>лужбы</w:t>
      </w:r>
      <w:r>
        <w:rPr>
          <w:color w:val="333333"/>
          <w:sz w:val="76"/>
          <w:szCs w:val="76"/>
        </w:rPr>
        <w:t>);</w:t>
      </w:r>
      <w:r>
        <w:rPr>
          <w:rStyle w:val="mark"/>
          <w:color w:val="333333"/>
          <w:sz w:val="76"/>
          <w:szCs w:val="76"/>
        </w:rPr>
        <w:t> (В редакции Постановления Правительства Российской Федерации от 10.07.2020 № 1017)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г) наименование организации (полное, а также сокращенное (при наличии).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 xml:space="preserve">6. В случае если с гражданином заключен трудовой договор, наряду со сведениями, указанными в </w:t>
      </w:r>
      <w:r>
        <w:rPr>
          <w:color w:val="333333"/>
          <w:sz w:val="76"/>
          <w:szCs w:val="76"/>
        </w:rPr>
        <w:t>пункте 5 настоящих Правил, также указываются следующие данные: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б) дата заключения трудового договора и срок, на который он заключен (указыв</w:t>
      </w:r>
      <w:r>
        <w:rPr>
          <w:color w:val="333333"/>
          <w:sz w:val="76"/>
          <w:szCs w:val="76"/>
        </w:rPr>
        <w:t>ается дата начала работы, а в случае, если заключается срочный трудовой договор, - срок его действия);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</w:t>
      </w:r>
      <w:r>
        <w:rPr>
          <w:color w:val="333333"/>
          <w:sz w:val="76"/>
          <w:szCs w:val="76"/>
        </w:rPr>
        <w:t>низации (при наличии);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 xml:space="preserve">7. В случае если с гражданином заключен гражданско-правовой договор, наряду со сведениями, указанными </w:t>
      </w:r>
      <w:r>
        <w:rPr>
          <w:color w:val="333333"/>
          <w:sz w:val="76"/>
          <w:szCs w:val="76"/>
        </w:rPr>
        <w:t>в пункте 5 настоящих Правил, также указываются следующие данные: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а) дата и номер гражданско-правового договора;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б) срок гражданско-правового договора (сроки начала и окончания выполнения работ (оказания услуг);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в) предмет гражданско-правового договора (с к</w:t>
      </w:r>
      <w:r>
        <w:rPr>
          <w:color w:val="333333"/>
          <w:sz w:val="76"/>
          <w:szCs w:val="76"/>
        </w:rPr>
        <w:t>ратким описанием работы (услуги) и ее результата);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г) стоимость работ (услуг) по гражданско-правовому договору.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 </w:t>
      </w:r>
    </w:p>
    <w:p w:rsidR="00000000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 </w:t>
      </w:r>
    </w:p>
    <w:p w:rsidR="00000000" w:rsidRDefault="00042F39">
      <w:pPr>
        <w:pStyle w:val="c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____________</w:t>
      </w:r>
    </w:p>
    <w:p w:rsidR="00042F39" w:rsidRDefault="00042F39">
      <w:pPr>
        <w:pStyle w:val="a3"/>
        <w:spacing w:line="300" w:lineRule="auto"/>
        <w:divId w:val="226957033"/>
        <w:rPr>
          <w:color w:val="333333"/>
          <w:sz w:val="76"/>
          <w:szCs w:val="76"/>
        </w:rPr>
      </w:pPr>
      <w:r>
        <w:rPr>
          <w:color w:val="333333"/>
          <w:sz w:val="76"/>
          <w:szCs w:val="76"/>
        </w:rPr>
        <w:t> </w:t>
      </w:r>
    </w:p>
    <w:sectPr w:rsidR="0004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E0105E"/>
    <w:rsid w:val="00042F39"/>
    <w:rsid w:val="00E0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254" w:beforeAutospacing="0" w:after="254" w:afterAutospacing="0"/>
      <w:ind w:firstLine="1906"/>
      <w:jc w:val="both"/>
    </w:pPr>
  </w:style>
  <w:style w:type="paragraph" w:customStyle="1" w:styleId="p">
    <w:name w:val="p"/>
    <w:basedOn w:val="a"/>
    <w:pPr>
      <w:spacing w:before="254" w:beforeAutospacing="0" w:after="254" w:afterAutospacing="0"/>
      <w:ind w:firstLine="1906"/>
      <w:jc w:val="both"/>
    </w:pPr>
  </w:style>
  <w:style w:type="paragraph" w:customStyle="1" w:styleId="n">
    <w:name w:val="n"/>
    <w:basedOn w:val="a"/>
    <w:pPr>
      <w:spacing w:before="254" w:beforeAutospacing="0" w:after="254" w:afterAutospacing="0"/>
      <w:ind w:firstLine="1906"/>
      <w:jc w:val="both"/>
    </w:pPr>
    <w:rPr>
      <w:sz w:val="68"/>
      <w:szCs w:val="68"/>
    </w:rPr>
  </w:style>
  <w:style w:type="paragraph" w:customStyle="1" w:styleId="i">
    <w:name w:val="i"/>
    <w:basedOn w:val="a"/>
    <w:pPr>
      <w:spacing w:before="254" w:beforeAutospacing="0" w:after="254" w:afterAutospacing="0"/>
      <w:ind w:left="1906"/>
    </w:pPr>
  </w:style>
  <w:style w:type="paragraph" w:customStyle="1" w:styleId="k">
    <w:name w:val="k"/>
    <w:basedOn w:val="a"/>
    <w:pPr>
      <w:spacing w:before="254" w:beforeAutospacing="0" w:after="254" w:afterAutospacing="0"/>
      <w:ind w:left="1906"/>
      <w:jc w:val="both"/>
    </w:pPr>
  </w:style>
  <w:style w:type="paragraph" w:customStyle="1" w:styleId="h">
    <w:name w:val="h"/>
    <w:basedOn w:val="a"/>
    <w:pPr>
      <w:spacing w:before="254" w:beforeAutospacing="0" w:after="254" w:afterAutospacing="0"/>
      <w:ind w:left="5336" w:hanging="3431"/>
    </w:pPr>
    <w:rPr>
      <w:b/>
      <w:bCs/>
    </w:rPr>
  </w:style>
  <w:style w:type="paragraph" w:customStyle="1" w:styleId="s">
    <w:name w:val="s"/>
    <w:basedOn w:val="a"/>
    <w:pPr>
      <w:spacing w:before="254" w:beforeAutospacing="0" w:after="254" w:afterAutospacing="0"/>
      <w:ind w:left="14400"/>
      <w:jc w:val="center"/>
    </w:pPr>
  </w:style>
  <w:style w:type="paragraph" w:customStyle="1" w:styleId="c">
    <w:name w:val="c"/>
    <w:basedOn w:val="a"/>
    <w:pPr>
      <w:spacing w:before="254" w:beforeAutospacing="0" w:after="254" w:afterAutospacing="0"/>
      <w:ind w:left="1906" w:right="1906"/>
      <w:jc w:val="center"/>
    </w:pPr>
  </w:style>
  <w:style w:type="paragraph" w:customStyle="1" w:styleId="t">
    <w:name w:val="t"/>
    <w:basedOn w:val="a"/>
    <w:pPr>
      <w:spacing w:before="254" w:beforeAutospacing="0" w:after="254" w:afterAutospacing="0"/>
      <w:ind w:left="1906" w:right="1906"/>
      <w:jc w:val="center"/>
    </w:pPr>
    <w:rPr>
      <w:b/>
      <w:bCs/>
    </w:rPr>
  </w:style>
  <w:style w:type="paragraph" w:customStyle="1" w:styleId="z">
    <w:name w:val="z"/>
    <w:basedOn w:val="a"/>
    <w:pPr>
      <w:spacing w:before="254" w:beforeAutospacing="0" w:after="254" w:afterAutospacing="0"/>
      <w:ind w:left="1906" w:right="1906"/>
      <w:jc w:val="center"/>
    </w:pPr>
    <w:rPr>
      <w:b/>
      <w:bCs/>
    </w:rPr>
  </w:style>
  <w:style w:type="paragraph" w:customStyle="1" w:styleId="y">
    <w:name w:val="y"/>
    <w:basedOn w:val="a"/>
    <w:pPr>
      <w:spacing w:before="254" w:beforeAutospacing="0" w:after="254" w:afterAutospacing="0"/>
      <w:ind w:left="1906"/>
    </w:pPr>
  </w:style>
  <w:style w:type="paragraph" w:customStyle="1" w:styleId="m">
    <w:name w:val="m"/>
    <w:basedOn w:val="a"/>
    <w:pPr>
      <w:spacing w:before="254" w:beforeAutospacing="0" w:after="254" w:afterAutospacing="0"/>
    </w:pPr>
    <w:rPr>
      <w:rFonts w:ascii="Courier New" w:hAnsi="Courier New" w:cs="Courier New"/>
      <w:sz w:val="72"/>
      <w:szCs w:val="72"/>
    </w:rPr>
  </w:style>
  <w:style w:type="paragraph" w:customStyle="1" w:styleId="l">
    <w:name w:val="l"/>
    <w:basedOn w:val="a"/>
    <w:pPr>
      <w:spacing w:before="254" w:beforeAutospacing="0" w:after="254" w:afterAutospacing="0"/>
    </w:pPr>
  </w:style>
  <w:style w:type="paragraph" w:customStyle="1" w:styleId="r">
    <w:name w:val="r"/>
    <w:basedOn w:val="a"/>
    <w:pPr>
      <w:spacing w:before="254" w:beforeAutospacing="0" w:after="254" w:afterAutospacing="0"/>
      <w:jc w:val="right"/>
    </w:pPr>
  </w:style>
  <w:style w:type="paragraph" w:customStyle="1" w:styleId="j">
    <w:name w:val="j"/>
    <w:basedOn w:val="a"/>
    <w:pPr>
      <w:spacing w:before="254" w:beforeAutospacing="0" w:after="254" w:afterAutospacing="0"/>
      <w:jc w:val="both"/>
    </w:pPr>
  </w:style>
  <w:style w:type="paragraph" w:customStyle="1" w:styleId="w0">
    <w:name w:val="w0"/>
    <w:basedOn w:val="a"/>
    <w:pPr>
      <w:spacing w:before="254" w:beforeAutospacing="0" w:after="254" w:afterAutospacing="0"/>
      <w:ind w:firstLine="1906"/>
      <w:jc w:val="both"/>
      <w:textAlignment w:val="baseline"/>
    </w:pPr>
  </w:style>
  <w:style w:type="paragraph" w:customStyle="1" w:styleId="w1">
    <w:name w:val="w1"/>
    <w:basedOn w:val="a"/>
    <w:pPr>
      <w:spacing w:before="254" w:beforeAutospacing="0" w:after="254" w:afterAutospacing="0"/>
      <w:ind w:firstLine="1906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254" w:beforeAutospacing="0" w:after="254" w:afterAutospacing="0"/>
      <w:ind w:firstLine="1906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254" w:beforeAutospacing="0" w:after="254" w:afterAutospacing="0"/>
      <w:ind w:firstLine="1906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254" w:beforeAutospacing="0" w:after="254" w:afterAutospacing="0"/>
      <w:ind w:firstLine="1906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254" w:beforeAutospacing="0" w:after="254" w:afterAutospacing="0"/>
      <w:ind w:firstLine="1906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254" w:beforeAutospacing="0" w:after="254" w:afterAutospacing="0"/>
      <w:ind w:firstLine="1906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254" w:beforeAutospacing="0" w:after="254" w:afterAutospacing="0"/>
      <w:ind w:firstLine="1906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254" w:beforeAutospacing="0" w:after="254" w:afterAutospacing="0"/>
      <w:ind w:firstLine="1906"/>
      <w:jc w:val="both"/>
    </w:pPr>
    <w:rPr>
      <w:vertAlign w:val="subscript"/>
    </w:rPr>
  </w:style>
  <w:style w:type="paragraph" w:customStyle="1" w:styleId="w9">
    <w:name w:val="w9"/>
    <w:basedOn w:val="a"/>
    <w:pPr>
      <w:spacing w:before="254" w:beforeAutospacing="0" w:after="254" w:afterAutospacing="0"/>
      <w:ind w:firstLine="1906"/>
      <w:jc w:val="both"/>
    </w:pPr>
    <w:rPr>
      <w:vertAlign w:val="superscript"/>
    </w:rPr>
  </w:style>
  <w:style w:type="paragraph" w:customStyle="1" w:styleId="wa">
    <w:name w:val="wa"/>
    <w:basedOn w:val="a"/>
    <w:pPr>
      <w:spacing w:before="254" w:beforeAutospacing="0" w:after="254" w:afterAutospacing="0"/>
      <w:ind w:firstLine="1906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254" w:beforeAutospacing="0" w:after="254" w:afterAutospacing="0"/>
      <w:ind w:firstLine="1906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254" w:beforeAutospacing="0" w:after="254" w:afterAutospacing="0"/>
      <w:ind w:firstLine="1906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254" w:beforeAutospacing="0" w:after="254" w:afterAutospacing="0"/>
      <w:ind w:firstLine="1906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254" w:beforeAutospacing="0" w:after="254" w:afterAutospacing="0"/>
      <w:ind w:firstLine="1906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254" w:beforeAutospacing="0" w:after="254" w:afterAutospacing="0"/>
      <w:ind w:firstLine="1906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254" w:beforeAutospacing="0" w:after="254" w:afterAutospacing="0"/>
      <w:ind w:firstLine="1906"/>
      <w:jc w:val="both"/>
    </w:pPr>
    <w:rPr>
      <w:sz w:val="68"/>
      <w:szCs w:val="68"/>
    </w:rPr>
  </w:style>
  <w:style w:type="paragraph" w:customStyle="1" w:styleId="g02c">
    <w:name w:val="g02c"/>
    <w:basedOn w:val="a"/>
    <w:pPr>
      <w:spacing w:before="254" w:beforeAutospacing="0" w:after="254" w:afterAutospacing="0"/>
      <w:ind w:firstLine="1906"/>
      <w:jc w:val="both"/>
    </w:pPr>
    <w:rPr>
      <w:sz w:val="68"/>
      <w:szCs w:val="68"/>
    </w:rPr>
  </w:style>
  <w:style w:type="paragraph" w:customStyle="1" w:styleId="g02r">
    <w:name w:val="g02r"/>
    <w:basedOn w:val="a"/>
    <w:pPr>
      <w:spacing w:before="254" w:beforeAutospacing="0" w:after="254" w:afterAutospacing="0"/>
      <w:ind w:firstLine="1906"/>
      <w:jc w:val="both"/>
    </w:pPr>
    <w:rPr>
      <w:sz w:val="68"/>
      <w:szCs w:val="68"/>
    </w:rPr>
  </w:style>
  <w:style w:type="paragraph" w:customStyle="1" w:styleId="g02j">
    <w:name w:val="g02j"/>
    <w:basedOn w:val="a"/>
    <w:pPr>
      <w:spacing w:before="254" w:beforeAutospacing="0" w:after="254" w:afterAutospacing="0"/>
      <w:ind w:firstLine="1906"/>
      <w:jc w:val="both"/>
    </w:pPr>
    <w:rPr>
      <w:sz w:val="68"/>
      <w:szCs w:val="68"/>
    </w:rPr>
  </w:style>
  <w:style w:type="paragraph" w:customStyle="1" w:styleId="g12l">
    <w:name w:val="g12l"/>
    <w:basedOn w:val="a"/>
    <w:pPr>
      <w:spacing w:before="254" w:beforeAutospacing="0" w:after="254" w:afterAutospacing="0"/>
      <w:ind w:firstLine="1906"/>
      <w:jc w:val="both"/>
    </w:pPr>
    <w:rPr>
      <w:sz w:val="68"/>
      <w:szCs w:val="68"/>
    </w:rPr>
  </w:style>
  <w:style w:type="paragraph" w:customStyle="1" w:styleId="g12c">
    <w:name w:val="g12c"/>
    <w:basedOn w:val="a"/>
    <w:pPr>
      <w:spacing w:before="254" w:beforeAutospacing="0" w:after="254" w:afterAutospacing="0"/>
      <w:ind w:firstLine="1906"/>
      <w:jc w:val="both"/>
    </w:pPr>
    <w:rPr>
      <w:sz w:val="68"/>
      <w:szCs w:val="68"/>
    </w:rPr>
  </w:style>
  <w:style w:type="paragraph" w:customStyle="1" w:styleId="g12r">
    <w:name w:val="g12r"/>
    <w:basedOn w:val="a"/>
    <w:pPr>
      <w:spacing w:before="254" w:beforeAutospacing="0" w:after="254" w:afterAutospacing="0"/>
      <w:ind w:firstLine="1906"/>
      <w:jc w:val="both"/>
    </w:pPr>
    <w:rPr>
      <w:sz w:val="68"/>
      <w:szCs w:val="68"/>
    </w:rPr>
  </w:style>
  <w:style w:type="paragraph" w:customStyle="1" w:styleId="g12j">
    <w:name w:val="g12j"/>
    <w:basedOn w:val="a"/>
    <w:pPr>
      <w:spacing w:before="254" w:beforeAutospacing="0" w:after="254" w:afterAutospacing="0"/>
      <w:ind w:firstLine="1906"/>
      <w:jc w:val="both"/>
    </w:pPr>
    <w:rPr>
      <w:sz w:val="68"/>
      <w:szCs w:val="68"/>
    </w:rPr>
  </w:style>
  <w:style w:type="paragraph" w:customStyle="1" w:styleId="g22l">
    <w:name w:val="g22l"/>
    <w:basedOn w:val="a"/>
    <w:pPr>
      <w:spacing w:before="254" w:beforeAutospacing="0" w:after="254" w:afterAutospacing="0"/>
      <w:ind w:firstLine="1906"/>
      <w:jc w:val="both"/>
    </w:pPr>
    <w:rPr>
      <w:sz w:val="68"/>
      <w:szCs w:val="68"/>
    </w:rPr>
  </w:style>
  <w:style w:type="paragraph" w:customStyle="1" w:styleId="g22c">
    <w:name w:val="g22c"/>
    <w:basedOn w:val="a"/>
    <w:pPr>
      <w:spacing w:before="254" w:beforeAutospacing="0" w:after="254" w:afterAutospacing="0"/>
      <w:ind w:firstLine="1906"/>
      <w:jc w:val="both"/>
    </w:pPr>
    <w:rPr>
      <w:sz w:val="68"/>
      <w:szCs w:val="68"/>
    </w:rPr>
  </w:style>
  <w:style w:type="paragraph" w:customStyle="1" w:styleId="g22r">
    <w:name w:val="g22r"/>
    <w:basedOn w:val="a"/>
    <w:pPr>
      <w:spacing w:before="254" w:beforeAutospacing="0" w:after="254" w:afterAutospacing="0"/>
      <w:ind w:firstLine="1906"/>
      <w:jc w:val="both"/>
    </w:pPr>
    <w:rPr>
      <w:sz w:val="68"/>
      <w:szCs w:val="68"/>
    </w:rPr>
  </w:style>
  <w:style w:type="paragraph" w:customStyle="1" w:styleId="g22j">
    <w:name w:val="g22j"/>
    <w:basedOn w:val="a"/>
    <w:pPr>
      <w:spacing w:before="254" w:beforeAutospacing="0" w:after="254" w:afterAutospacing="0"/>
      <w:ind w:firstLine="1906"/>
      <w:jc w:val="both"/>
    </w:pPr>
    <w:rPr>
      <w:sz w:val="68"/>
      <w:szCs w:val="68"/>
    </w:rPr>
  </w:style>
  <w:style w:type="paragraph" w:customStyle="1" w:styleId="g32l">
    <w:name w:val="g32l"/>
    <w:basedOn w:val="a"/>
    <w:pPr>
      <w:spacing w:before="254" w:beforeAutospacing="0" w:after="254" w:afterAutospacing="0"/>
      <w:ind w:firstLine="1906"/>
      <w:jc w:val="both"/>
    </w:pPr>
    <w:rPr>
      <w:sz w:val="68"/>
      <w:szCs w:val="68"/>
    </w:rPr>
  </w:style>
  <w:style w:type="paragraph" w:customStyle="1" w:styleId="g32c">
    <w:name w:val="g32c"/>
    <w:basedOn w:val="a"/>
    <w:pPr>
      <w:spacing w:before="254" w:beforeAutospacing="0" w:after="254" w:afterAutospacing="0"/>
      <w:ind w:firstLine="1906"/>
      <w:jc w:val="both"/>
    </w:pPr>
    <w:rPr>
      <w:sz w:val="68"/>
      <w:szCs w:val="68"/>
    </w:rPr>
  </w:style>
  <w:style w:type="paragraph" w:customStyle="1" w:styleId="g32r">
    <w:name w:val="g32r"/>
    <w:basedOn w:val="a"/>
    <w:pPr>
      <w:spacing w:before="254" w:beforeAutospacing="0" w:after="254" w:afterAutospacing="0"/>
      <w:ind w:firstLine="1906"/>
      <w:jc w:val="both"/>
    </w:pPr>
    <w:rPr>
      <w:sz w:val="68"/>
      <w:szCs w:val="68"/>
    </w:rPr>
  </w:style>
  <w:style w:type="paragraph" w:customStyle="1" w:styleId="g32j">
    <w:name w:val="g32j"/>
    <w:basedOn w:val="a"/>
    <w:pPr>
      <w:spacing w:before="254" w:beforeAutospacing="0" w:after="254" w:afterAutospacing="0"/>
      <w:ind w:firstLine="1906"/>
      <w:jc w:val="both"/>
    </w:pPr>
    <w:rPr>
      <w:sz w:val="68"/>
      <w:szCs w:val="68"/>
    </w:rPr>
  </w:style>
  <w:style w:type="paragraph" w:customStyle="1" w:styleId="m1">
    <w:name w:val="m1"/>
    <w:basedOn w:val="a"/>
    <w:pPr>
      <w:spacing w:before="254" w:beforeAutospacing="0" w:after="254" w:afterAutospacing="0"/>
    </w:pPr>
    <w:rPr>
      <w:rFonts w:ascii="Courier New" w:hAnsi="Courier New" w:cs="Courier New"/>
      <w:sz w:val="72"/>
      <w:szCs w:val="72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1609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1609"/>
      <w:jc w:val="both"/>
    </w:pPr>
    <w:rPr>
      <w:sz w:val="68"/>
      <w:szCs w:val="68"/>
    </w:rPr>
  </w:style>
  <w:style w:type="paragraph" w:customStyle="1" w:styleId="i1">
    <w:name w:val="i1"/>
    <w:basedOn w:val="a"/>
    <w:pPr>
      <w:spacing w:before="0" w:beforeAutospacing="0" w:after="0" w:afterAutospacing="0"/>
      <w:ind w:left="1609"/>
    </w:pPr>
  </w:style>
  <w:style w:type="paragraph" w:customStyle="1" w:styleId="k1">
    <w:name w:val="k1"/>
    <w:basedOn w:val="a"/>
    <w:pPr>
      <w:spacing w:before="0" w:beforeAutospacing="0" w:after="0" w:afterAutospacing="0"/>
      <w:ind w:left="1609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5040" w:right="1609" w:hanging="3431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1609" w:right="1609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59"/>
      <w:szCs w:val="59"/>
    </w:rPr>
  </w:style>
  <w:style w:type="paragraph" w:customStyle="1" w:styleId="m3">
    <w:name w:val="m3"/>
    <w:basedOn w:val="a"/>
    <w:pPr>
      <w:spacing w:before="254" w:beforeAutospacing="0" w:after="254" w:afterAutospacing="0"/>
    </w:pPr>
    <w:rPr>
      <w:rFonts w:ascii="Courier New" w:hAnsi="Courier New" w:cs="Courier New"/>
      <w:sz w:val="72"/>
      <w:szCs w:val="72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1609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1609"/>
      <w:jc w:val="both"/>
    </w:pPr>
    <w:rPr>
      <w:sz w:val="68"/>
      <w:szCs w:val="68"/>
    </w:rPr>
  </w:style>
  <w:style w:type="paragraph" w:customStyle="1" w:styleId="i2">
    <w:name w:val="i2"/>
    <w:basedOn w:val="a"/>
    <w:pPr>
      <w:spacing w:before="0" w:beforeAutospacing="0" w:after="0" w:afterAutospacing="0"/>
      <w:ind w:left="1609"/>
    </w:pPr>
  </w:style>
  <w:style w:type="paragraph" w:customStyle="1" w:styleId="k2">
    <w:name w:val="k2"/>
    <w:basedOn w:val="a"/>
    <w:pPr>
      <w:spacing w:before="0" w:beforeAutospacing="0" w:after="0" w:afterAutospacing="0"/>
      <w:ind w:left="1609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5040" w:right="1609" w:hanging="3431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1609" w:right="1609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59"/>
      <w:szCs w:val="59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57033">
      <w:bodyDiv w:val="1"/>
      <w:marLeft w:val="169"/>
      <w:marRight w:val="169"/>
      <w:marTop w:val="169"/>
      <w:marBottom w:val="16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877</Words>
  <Characters>5005</Characters>
  <Application>Microsoft Office Word</Application>
  <DocSecurity>0</DocSecurity>
  <Lines>41</Lines>
  <Paragraphs>11</Paragraphs>
  <ScaleCrop>false</ScaleCrop>
  <Company>Microsoft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2023-04-05T11:00:00Z</dcterms:created>
  <dcterms:modified xsi:type="dcterms:W3CDTF">2023-04-05T11:00:00Z</dcterms:modified>
</cp:coreProperties>
</file>