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B1" w:rsidRDefault="00F36BB1" w:rsidP="00F36BB1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62330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B1" w:rsidRDefault="00F36BB1" w:rsidP="00F36BB1">
      <w:pPr>
        <w:pStyle w:val="a3"/>
        <w:widowControl w:val="0"/>
        <w:tabs>
          <w:tab w:val="left" w:pos="708"/>
        </w:tabs>
        <w:suppressAutoHyphens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F36BB1" w:rsidRDefault="00F36BB1" w:rsidP="00F36BB1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F36BB1" w:rsidRDefault="00F36BB1" w:rsidP="00F36BB1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F36BB1" w:rsidRDefault="00F36BB1" w:rsidP="00F36BB1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F36BB1" w:rsidRDefault="00F36BB1" w:rsidP="00F36BB1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</w:p>
    <w:p w:rsidR="00F36BB1" w:rsidRDefault="00F36BB1" w:rsidP="00F36BB1"/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F36BB1" w:rsidTr="00F36BB1">
        <w:tc>
          <w:tcPr>
            <w:tcW w:w="3436" w:type="dxa"/>
            <w:hideMark/>
          </w:tcPr>
          <w:p w:rsidR="00F36BB1" w:rsidRDefault="00F36BB1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 сентября 2021 года</w:t>
            </w:r>
          </w:p>
        </w:tc>
        <w:tc>
          <w:tcPr>
            <w:tcW w:w="3107" w:type="dxa"/>
          </w:tcPr>
          <w:p w:rsidR="00F36BB1" w:rsidRDefault="00F36BB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F36BB1" w:rsidRDefault="00F36B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№ 14/2-4</w:t>
            </w:r>
          </w:p>
        </w:tc>
      </w:tr>
    </w:tbl>
    <w:p w:rsidR="00F36BB1" w:rsidRDefault="00F36BB1" w:rsidP="00F36B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F36BB1" w:rsidRDefault="00F36BB1" w:rsidP="00F36B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BB1" w:rsidRDefault="00F36BB1" w:rsidP="00F36B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BB1" w:rsidRDefault="00F36BB1" w:rsidP="00F36B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предложениях по резерву составов участковых комиссий, сформированных на территории Хвойнинского муниципального округа</w:t>
      </w:r>
    </w:p>
    <w:p w:rsidR="00F36BB1" w:rsidRDefault="00F36BB1" w:rsidP="00F36BB1">
      <w:pPr>
        <w:pStyle w:val="ConsNormal"/>
        <w:widowControl/>
        <w:ind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B1" w:rsidRDefault="00F36BB1" w:rsidP="00F36BB1">
      <w:pPr>
        <w:pStyle w:val="ConsNormal"/>
        <w:widowControl/>
        <w:ind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B1" w:rsidRDefault="00F36BB1" w:rsidP="00F36BB1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9 статьи 26,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5 декабря 2012 года № 152/1137-6, на основании постановления Территориальной избирательной комиссии Хвойнинского района от 2 сентября 2021 года № 14/1-4 «О назначении в составы участковых избирательных комиссий №1901,1902,1905,1912,1913 и 1914» </w:t>
      </w:r>
    </w:p>
    <w:p w:rsidR="00F36BB1" w:rsidRDefault="00F36BB1" w:rsidP="00F36B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F36BB1" w:rsidRDefault="00F36BB1" w:rsidP="00F36BB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6BB1" w:rsidRDefault="00F36BB1" w:rsidP="00F36BB1">
      <w:pPr>
        <w:tabs>
          <w:tab w:val="left" w:pos="662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1.Направить в ИКНО список кандидатур, предлагаемых для исключения из резерва составов участковых комиссий на территории Хвойнинского муниципального округа в количестве 8человек. (приложение 1)</w:t>
      </w:r>
    </w:p>
    <w:p w:rsidR="00F36BB1" w:rsidRDefault="00F36BB1" w:rsidP="00F36BB1">
      <w:pPr>
        <w:tabs>
          <w:tab w:val="left" w:pos="662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Направить настоящее постановление и передать соответствующие данные по кандидатурам, указанным в пункте 1 настоящего постановления, в установленном порядке в Избирательную комиссию Новгородской области.</w:t>
      </w:r>
    </w:p>
    <w:p w:rsidR="00F36BB1" w:rsidRDefault="00F36BB1" w:rsidP="00F36BB1">
      <w:pPr>
        <w:spacing w:line="360" w:lineRule="auto"/>
        <w:ind w:firstLine="708"/>
        <w:jc w:val="both"/>
        <w:rPr>
          <w:sz w:val="28"/>
          <w:szCs w:val="28"/>
        </w:rPr>
      </w:pPr>
    </w:p>
    <w:p w:rsidR="00F36BB1" w:rsidRDefault="00F36BB1" w:rsidP="00F36BB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10137"/>
      </w:tblGrid>
      <w:tr w:rsidR="00F36BB1" w:rsidTr="00F36BB1">
        <w:trPr>
          <w:trHeight w:val="1020"/>
        </w:trPr>
        <w:tc>
          <w:tcPr>
            <w:tcW w:w="9609" w:type="dxa"/>
            <w:hideMark/>
          </w:tcPr>
          <w:tbl>
            <w:tblPr>
              <w:tblW w:w="9923" w:type="dxa"/>
              <w:tblLook w:val="04A0"/>
            </w:tblPr>
            <w:tblGrid>
              <w:gridCol w:w="6345"/>
              <w:gridCol w:w="3578"/>
            </w:tblGrid>
            <w:tr w:rsidR="00F36BB1">
              <w:tc>
                <w:tcPr>
                  <w:tcW w:w="6345" w:type="dxa"/>
                  <w:hideMark/>
                </w:tcPr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</w:t>
                  </w:r>
                </w:p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комиссии Хвойнинского района </w:t>
                  </w:r>
                </w:p>
              </w:tc>
              <w:tc>
                <w:tcPr>
                  <w:tcW w:w="3578" w:type="dxa"/>
                  <w:vAlign w:val="bottom"/>
                  <w:hideMark/>
                </w:tcPr>
                <w:p w:rsidR="00F36BB1" w:rsidRDefault="00F36BB1">
                  <w:pPr>
                    <w:pStyle w:val="14-15"/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С.Е. Косьяненко</w:t>
                  </w:r>
                </w:p>
              </w:tc>
            </w:tr>
            <w:tr w:rsidR="00F36BB1">
              <w:tc>
                <w:tcPr>
                  <w:tcW w:w="6345" w:type="dxa"/>
                </w:tcPr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:rsidR="00F36BB1" w:rsidRDefault="00F36B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 Хвойнинского района</w:t>
                  </w:r>
                </w:p>
              </w:tc>
              <w:tc>
                <w:tcPr>
                  <w:tcW w:w="3578" w:type="dxa"/>
                  <w:vAlign w:val="bottom"/>
                </w:tcPr>
                <w:p w:rsidR="00F36BB1" w:rsidRDefault="00F36BB1">
                  <w:pPr>
                    <w:pStyle w:val="14-15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F36BB1" w:rsidRDefault="00F36BB1">
                  <w:pPr>
                    <w:pStyle w:val="14-15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Н.С. Цветкова</w:t>
                  </w:r>
                </w:p>
              </w:tc>
            </w:tr>
          </w:tbl>
          <w:p w:rsidR="00F36BB1" w:rsidRDefault="00F36BB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36BB1" w:rsidRDefault="00F36BB1" w:rsidP="00F36BB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B1" w:rsidRDefault="00F36BB1" w:rsidP="00F36BB1">
      <w:pPr>
        <w:spacing w:line="360" w:lineRule="auto"/>
        <w:rPr>
          <w:sz w:val="28"/>
          <w:szCs w:val="28"/>
        </w:rPr>
        <w:sectPr w:rsidR="00F36BB1"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F36BB1" w:rsidRDefault="00F36BB1" w:rsidP="00F36BB1">
      <w:pPr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 1</w:t>
      </w:r>
    </w:p>
    <w:p w:rsidR="00F36BB1" w:rsidRDefault="00F36BB1" w:rsidP="00F36BB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кандидатур, предлагаемых для исключения из резерва составов участковых комиссий Хвойнинского района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2"/>
        <w:gridCol w:w="6684"/>
        <w:gridCol w:w="3954"/>
      </w:tblGrid>
      <w:tr w:rsidR="00F36BB1" w:rsidTr="00F36BB1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B1" w:rsidRDefault="00F36B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B1" w:rsidRDefault="00F36B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B1" w:rsidRDefault="00F36B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B1" w:rsidRDefault="00F36BB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F36BB1" w:rsidTr="00F36BB1">
        <w:trPr>
          <w:trHeight w:val="319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УИК 1901-1904</w:t>
            </w:r>
          </w:p>
        </w:tc>
      </w:tr>
      <w:tr w:rsidR="00F36BB1" w:rsidTr="00F36BB1">
        <w:trPr>
          <w:trHeight w:val="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Дмитрий Викторович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Политическая партия ЛЛДП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Либерально-демократическая партия России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3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Павел Юрьевич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52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321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УИК 1905-1906</w:t>
            </w:r>
          </w:p>
        </w:tc>
      </w:tr>
      <w:tr w:rsidR="00F36BB1" w:rsidTr="00F36BB1">
        <w:trPr>
          <w:trHeight w:val="6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Екатерина Владимировна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партия ЛЛДП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Либерально-демократическая партия России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271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УИК 1912-1913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36BB1" w:rsidTr="00F36BB1">
        <w:trPr>
          <w:trHeight w:val="52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Козлова Наталья Владимировна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52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Юлия Юрьевна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Всероссийская политическая партия "ЕДИНАЯ РОССИЯ";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52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Палийчук Наталья Васильевна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партия ЛЛДП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Либерально-демократическая партия России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36BB1" w:rsidTr="00F36BB1">
        <w:trPr>
          <w:trHeight w:val="308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УИК 1914</w:t>
            </w:r>
          </w:p>
        </w:tc>
      </w:tr>
      <w:tr w:rsidR="00F36BB1" w:rsidTr="00F36BB1">
        <w:trPr>
          <w:trHeight w:val="52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Собрание избирателей по месту жительства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1" w:rsidRDefault="00F36B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«г»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F36BB1" w:rsidRDefault="00F36BB1" w:rsidP="00F36BB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</w:p>
    <w:p w:rsidR="00F36BB1" w:rsidRDefault="00F36BB1" w:rsidP="00F36BB1">
      <w:r>
        <w:rPr>
          <w:vertAlign w:val="superscript"/>
        </w:rPr>
        <w:t> </w:t>
      </w:r>
      <w:r>
        <w:t>  подпункт «г» – в связи с назначением в состав участковой комиссии</w:t>
      </w:r>
    </w:p>
    <w:p w:rsidR="00D92711" w:rsidRDefault="00D92711"/>
    <w:sectPr w:rsidR="00D92711" w:rsidSect="00F36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BB1"/>
    <w:rsid w:val="00D92711"/>
    <w:rsid w:val="00F3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F36BB1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PlusNormal">
    <w:name w:val="ConsPlusNormal"/>
    <w:rsid w:val="00F36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F36B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4"/>
    <w:rsid w:val="00F36BB1"/>
  </w:style>
  <w:style w:type="paragraph" w:styleId="a4">
    <w:name w:val="Body Text Indent"/>
    <w:basedOn w:val="a"/>
    <w:link w:val="a5"/>
    <w:uiPriority w:val="99"/>
    <w:semiHidden/>
    <w:unhideWhenUsed/>
    <w:rsid w:val="00F36B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2021-12-22T11:50:00Z</dcterms:created>
  <dcterms:modified xsi:type="dcterms:W3CDTF">2021-12-22T11:50:00Z</dcterms:modified>
</cp:coreProperties>
</file>