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83" w:rsidRDefault="00530A83" w:rsidP="00530A83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785" cy="862330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30A83" w:rsidRDefault="00530A83" w:rsidP="00530A83">
      <w:pPr>
        <w:jc w:val="center"/>
        <w:rPr>
          <w:b/>
          <w:sz w:val="28"/>
        </w:rPr>
      </w:pPr>
    </w:p>
    <w:p w:rsidR="00530A83" w:rsidRDefault="00530A83" w:rsidP="00530A83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530A83" w:rsidRDefault="00530A83" w:rsidP="00530A8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Хвойнинского района</w:t>
      </w:r>
    </w:p>
    <w:p w:rsidR="00530A83" w:rsidRDefault="00530A83" w:rsidP="00530A8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0A83" w:rsidRDefault="00530A83" w:rsidP="00530A8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30A83" w:rsidRDefault="00530A83" w:rsidP="00530A83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530A83" w:rsidRDefault="00530A83" w:rsidP="00530A83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530A83" w:rsidTr="00530A83">
        <w:tc>
          <w:tcPr>
            <w:tcW w:w="3186" w:type="dxa"/>
            <w:hideMark/>
          </w:tcPr>
          <w:p w:rsidR="00530A83" w:rsidRDefault="00530A83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сентября 2021 года</w:t>
            </w:r>
          </w:p>
        </w:tc>
        <w:tc>
          <w:tcPr>
            <w:tcW w:w="3209" w:type="dxa"/>
          </w:tcPr>
          <w:p w:rsidR="00530A83" w:rsidRDefault="00530A8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hideMark/>
          </w:tcPr>
          <w:p w:rsidR="00530A83" w:rsidRDefault="00530A83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№13/1-4</w:t>
            </w:r>
          </w:p>
        </w:tc>
      </w:tr>
      <w:tr w:rsidR="00530A83" w:rsidTr="00530A83">
        <w:tc>
          <w:tcPr>
            <w:tcW w:w="3186" w:type="dxa"/>
          </w:tcPr>
          <w:p w:rsidR="00530A83" w:rsidRDefault="00530A8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hideMark/>
          </w:tcPr>
          <w:p w:rsidR="00530A83" w:rsidRDefault="00530A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176" w:type="dxa"/>
          </w:tcPr>
          <w:p w:rsidR="00530A83" w:rsidRDefault="00530A8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30A83" w:rsidRDefault="00530A83" w:rsidP="00530A83"/>
    <w:p w:rsidR="00530A83" w:rsidRDefault="00530A83" w:rsidP="00530A83">
      <w:pPr>
        <w:jc w:val="center"/>
        <w:rPr>
          <w:b/>
          <w:sz w:val="28"/>
          <w:szCs w:val="28"/>
        </w:rPr>
      </w:pPr>
    </w:p>
    <w:p w:rsidR="00530A83" w:rsidRDefault="00530A83" w:rsidP="00530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>распределении специальных знаков (марок) для избирательных бюллетеней на</w:t>
      </w:r>
      <w:r>
        <w:rPr>
          <w:b/>
          <w:bCs/>
          <w:sz w:val="28"/>
          <w:szCs w:val="28"/>
        </w:rPr>
        <w:t xml:space="preserve"> выборах </w:t>
      </w:r>
      <w:proofErr w:type="gramStart"/>
      <w:r>
        <w:rPr>
          <w:b/>
          <w:bCs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</w:p>
    <w:p w:rsidR="00530A83" w:rsidRDefault="00530A83" w:rsidP="00530A83">
      <w:pPr>
        <w:jc w:val="center"/>
        <w:rPr>
          <w:b/>
          <w:sz w:val="28"/>
          <w:szCs w:val="28"/>
        </w:rPr>
      </w:pPr>
    </w:p>
    <w:p w:rsidR="00530A83" w:rsidRDefault="00530A83" w:rsidP="00530A83">
      <w:pPr>
        <w:pStyle w:val="1"/>
        <w:keepNext w:val="0"/>
        <w:widowControl w:val="0"/>
        <w:spacing w:line="360" w:lineRule="auto"/>
        <w:ind w:firstLine="709"/>
        <w:rPr>
          <w:rFonts w:ascii="Times New Roman" w:hAnsi="Times New Roman"/>
          <w:b w:val="0"/>
          <w:bCs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В соответствии с пунктом 17 статьи 28, частью 2 статьи 79 Федерального закона от 22 февраля 2014 года № 20-ФЗ «О выборах депутатов Государственной Думы Федерального Собрания Российской Федерации», пунктом 5.1 Порядка изготовления, доставки, передачи и использования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восьмого созыва, утвержденным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Cs w:val="28"/>
        </w:rPr>
        <w:t xml:space="preserve">постановлением Центральной избирательной комиссии Российской Федерации от 28 апреля 2021 года № 4/31-8, постановлением Центральной избирательной комиссии Российской Федерации от 2 июня 2021 года  № 8/62-8 «О количестве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восьмого созыва», постановлением Избирательной комиссии Новгородской области от </w:t>
      </w:r>
      <w:r>
        <w:rPr>
          <w:rFonts w:ascii="Times New Roman" w:hAnsi="Times New Roman"/>
          <w:b w:val="0"/>
        </w:rPr>
        <w:t xml:space="preserve">30 июля 2021 года № 150/9-6 </w:t>
      </w:r>
      <w:r>
        <w:rPr>
          <w:rFonts w:ascii="Times New Roman" w:hAnsi="Times New Roman"/>
          <w:b w:val="0"/>
          <w:szCs w:val="28"/>
        </w:rPr>
        <w:t>«О</w:t>
      </w:r>
      <w:proofErr w:type="gramEnd"/>
      <w:r>
        <w:rPr>
          <w:rFonts w:ascii="Times New Roman" w:hAnsi="Times New Roman"/>
          <w:b w:val="0"/>
          <w:szCs w:val="28"/>
        </w:rPr>
        <w:t xml:space="preserve"> распределении специальных знаков (марок) для избирательных бюллетеней на выборах </w:t>
      </w:r>
      <w:proofErr w:type="gramStart"/>
      <w:r>
        <w:rPr>
          <w:rFonts w:ascii="Times New Roman" w:hAnsi="Times New Roman"/>
          <w:b w:val="0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rFonts w:ascii="Times New Roman" w:hAnsi="Times New Roman"/>
          <w:b w:val="0"/>
          <w:szCs w:val="28"/>
        </w:rPr>
        <w:t xml:space="preserve">» </w:t>
      </w:r>
    </w:p>
    <w:p w:rsidR="00530A83" w:rsidRDefault="00530A83" w:rsidP="00530A83">
      <w:pPr>
        <w:widowControl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Территориальная избирательная комиссия Хвойнинского района</w:t>
      </w:r>
    </w:p>
    <w:p w:rsidR="00530A83" w:rsidRDefault="00530A83" w:rsidP="00530A8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0A83" w:rsidRDefault="00530A83" w:rsidP="00530A8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распределение специальных знаков (марок) для избирательных бюллетеней на </w:t>
      </w:r>
      <w:r>
        <w:rPr>
          <w:bCs/>
          <w:sz w:val="28"/>
          <w:szCs w:val="28"/>
        </w:rPr>
        <w:t xml:space="preserve">выборах депутатов Государственной Думы Федерального Собрания Российской Федерации восьмого созыва </w:t>
      </w:r>
      <w:r>
        <w:rPr>
          <w:sz w:val="28"/>
          <w:szCs w:val="28"/>
        </w:rPr>
        <w:t>(прилагается).</w:t>
      </w:r>
    </w:p>
    <w:p w:rsidR="00530A83" w:rsidRDefault="00530A83" w:rsidP="00530A83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2. Направить настоящее постановление в участковые избирательные комиссии Хвойнинского района.</w:t>
      </w:r>
    </w:p>
    <w:p w:rsidR="00530A83" w:rsidRDefault="00530A83" w:rsidP="00530A83">
      <w:pPr>
        <w:spacing w:line="360" w:lineRule="auto"/>
        <w:ind w:firstLine="851"/>
        <w:jc w:val="both"/>
      </w:pPr>
    </w:p>
    <w:p w:rsidR="00530A83" w:rsidRDefault="00530A83" w:rsidP="00530A83">
      <w:pPr>
        <w:spacing w:line="360" w:lineRule="auto"/>
        <w:ind w:firstLine="709"/>
        <w:jc w:val="both"/>
      </w:pPr>
    </w:p>
    <w:tbl>
      <w:tblPr>
        <w:tblStyle w:val="a7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77"/>
      </w:tblGrid>
      <w:tr w:rsidR="00530A83" w:rsidTr="00530A83">
        <w:tc>
          <w:tcPr>
            <w:tcW w:w="3936" w:type="dxa"/>
            <w:hideMark/>
          </w:tcPr>
          <w:p w:rsidR="00530A83" w:rsidRDefault="00530A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530A83" w:rsidRDefault="00530A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Хвойнинского района</w:t>
            </w:r>
          </w:p>
        </w:tc>
        <w:tc>
          <w:tcPr>
            <w:tcW w:w="2693" w:type="dxa"/>
          </w:tcPr>
          <w:p w:rsidR="00530A83" w:rsidRDefault="00530A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30A83" w:rsidRDefault="00530A83">
            <w:pPr>
              <w:rPr>
                <w:sz w:val="28"/>
                <w:szCs w:val="28"/>
                <w:lang w:eastAsia="en-US"/>
              </w:rPr>
            </w:pPr>
          </w:p>
          <w:p w:rsidR="00530A83" w:rsidRDefault="00530A83">
            <w:pPr>
              <w:rPr>
                <w:sz w:val="28"/>
                <w:szCs w:val="28"/>
                <w:lang w:eastAsia="en-US"/>
              </w:rPr>
            </w:pPr>
          </w:p>
          <w:p w:rsidR="00530A83" w:rsidRDefault="00530A8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530A83" w:rsidTr="00530A83">
        <w:tc>
          <w:tcPr>
            <w:tcW w:w="3936" w:type="dxa"/>
          </w:tcPr>
          <w:p w:rsidR="00530A83" w:rsidRDefault="00530A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30A83" w:rsidRDefault="00530A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30A83" w:rsidRDefault="00530A83">
            <w:pPr>
              <w:rPr>
                <w:sz w:val="28"/>
                <w:szCs w:val="28"/>
                <w:lang w:eastAsia="en-US"/>
              </w:rPr>
            </w:pPr>
          </w:p>
        </w:tc>
      </w:tr>
      <w:tr w:rsidR="00530A83" w:rsidTr="00530A83">
        <w:tc>
          <w:tcPr>
            <w:tcW w:w="3936" w:type="dxa"/>
            <w:hideMark/>
          </w:tcPr>
          <w:p w:rsidR="00530A83" w:rsidRDefault="00530A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530A83" w:rsidRDefault="00530A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Хвойнинского района</w:t>
            </w:r>
          </w:p>
        </w:tc>
        <w:tc>
          <w:tcPr>
            <w:tcW w:w="2693" w:type="dxa"/>
          </w:tcPr>
          <w:p w:rsidR="00530A83" w:rsidRDefault="00530A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30A83" w:rsidRDefault="00530A83">
            <w:pPr>
              <w:rPr>
                <w:sz w:val="28"/>
                <w:szCs w:val="28"/>
                <w:lang w:eastAsia="en-US"/>
              </w:rPr>
            </w:pPr>
          </w:p>
          <w:p w:rsidR="00530A83" w:rsidRDefault="00530A83">
            <w:pPr>
              <w:rPr>
                <w:sz w:val="28"/>
                <w:szCs w:val="28"/>
                <w:lang w:eastAsia="en-US"/>
              </w:rPr>
            </w:pPr>
          </w:p>
          <w:p w:rsidR="00530A83" w:rsidRDefault="00530A83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30A83" w:rsidRDefault="00530A8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530A83" w:rsidRDefault="00530A83" w:rsidP="00530A83">
      <w:pPr>
        <w:rPr>
          <w:sz w:val="28"/>
          <w:szCs w:val="28"/>
        </w:rPr>
      </w:pPr>
    </w:p>
    <w:p w:rsidR="00530A83" w:rsidRDefault="00530A83" w:rsidP="00530A83">
      <w:pPr>
        <w:spacing w:line="360" w:lineRule="auto"/>
        <w:ind w:firstLine="851"/>
        <w:jc w:val="both"/>
        <w:rPr>
          <w:sz w:val="28"/>
          <w:szCs w:val="28"/>
        </w:rPr>
      </w:pPr>
    </w:p>
    <w:p w:rsidR="00530A83" w:rsidRDefault="00530A83" w:rsidP="00530A83">
      <w:pPr>
        <w:pStyle w:val="msonormalbullet2gifbullet1gif"/>
        <w:spacing w:line="360" w:lineRule="auto"/>
        <w:ind w:firstLine="851"/>
        <w:jc w:val="both"/>
        <w:rPr>
          <w:sz w:val="28"/>
          <w:szCs w:val="28"/>
        </w:rPr>
      </w:pPr>
    </w:p>
    <w:p w:rsidR="00530A83" w:rsidRDefault="00530A83" w:rsidP="00530A83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530A83" w:rsidRDefault="00530A83" w:rsidP="00530A83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530A83" w:rsidRDefault="00530A83" w:rsidP="00530A83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530A83" w:rsidRDefault="00530A83" w:rsidP="00530A83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530A83" w:rsidRDefault="00530A83" w:rsidP="00530A83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530A83" w:rsidRDefault="00530A83" w:rsidP="00530A83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530A83" w:rsidRDefault="00530A83" w:rsidP="00530A83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530A83" w:rsidRDefault="00530A83" w:rsidP="00530A83">
      <w:pPr>
        <w:spacing w:line="276" w:lineRule="auto"/>
        <w:ind w:left="5954"/>
        <w:jc w:val="center"/>
      </w:pPr>
      <w:r>
        <w:lastRenderedPageBreak/>
        <w:t>Приложение</w:t>
      </w:r>
    </w:p>
    <w:p w:rsidR="00530A83" w:rsidRDefault="00530A83" w:rsidP="00530A83">
      <w:pPr>
        <w:spacing w:line="276" w:lineRule="auto"/>
        <w:ind w:left="5954"/>
        <w:jc w:val="both"/>
      </w:pPr>
      <w:r>
        <w:t>к постановлению Территориальной избирательной комиссии Хвойнинского района от 01.09.2021</w:t>
      </w:r>
    </w:p>
    <w:p w:rsidR="00530A83" w:rsidRDefault="00530A83" w:rsidP="00530A83">
      <w:pPr>
        <w:spacing w:line="276" w:lineRule="auto"/>
        <w:ind w:left="5954"/>
        <w:jc w:val="both"/>
        <w:rPr>
          <w:b/>
        </w:rPr>
      </w:pPr>
      <w:r>
        <w:t xml:space="preserve"> № 13/1-4</w:t>
      </w:r>
    </w:p>
    <w:p w:rsidR="00530A83" w:rsidRDefault="00530A83" w:rsidP="00530A83">
      <w:pPr>
        <w:pStyle w:val="a3"/>
        <w:jc w:val="center"/>
        <w:rPr>
          <w:b/>
          <w:szCs w:val="28"/>
        </w:rPr>
      </w:pPr>
    </w:p>
    <w:p w:rsidR="00530A83" w:rsidRDefault="00530A83" w:rsidP="00530A8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</w:t>
      </w:r>
    </w:p>
    <w:p w:rsidR="00530A83" w:rsidRDefault="00530A83" w:rsidP="00530A83">
      <w:pPr>
        <w:pStyle w:val="a3"/>
        <w:jc w:val="center"/>
        <w:rPr>
          <w:b/>
          <w:bCs/>
          <w:szCs w:val="28"/>
        </w:rPr>
      </w:pPr>
      <w:r>
        <w:rPr>
          <w:b/>
          <w:szCs w:val="28"/>
        </w:rPr>
        <w:t xml:space="preserve">специальных знаков (марок) для избирательных бюллетеней на </w:t>
      </w:r>
      <w:r>
        <w:rPr>
          <w:b/>
          <w:bCs/>
          <w:szCs w:val="28"/>
        </w:rPr>
        <w:t xml:space="preserve">выборах </w:t>
      </w:r>
      <w:proofErr w:type="gramStart"/>
      <w:r>
        <w:rPr>
          <w:b/>
          <w:bCs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1587"/>
        <w:gridCol w:w="709"/>
        <w:gridCol w:w="1843"/>
        <w:gridCol w:w="1559"/>
        <w:gridCol w:w="1310"/>
        <w:gridCol w:w="1242"/>
        <w:gridCol w:w="1275"/>
      </w:tblGrid>
      <w:tr w:rsidR="00530A83" w:rsidTr="00530A83">
        <w:trPr>
          <w:cantSplit/>
          <w:trHeight w:val="3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tabs>
                <w:tab w:val="left" w:pos="-250"/>
                <w:tab w:val="left" w:pos="-108"/>
                <w:tab w:val="left" w:pos="0"/>
                <w:tab w:val="left" w:pos="102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Полные листы с марками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Неполные листы с марками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марок</w:t>
            </w:r>
          </w:p>
        </w:tc>
      </w:tr>
      <w:tr w:rsidR="00530A83" w:rsidTr="00530A83">
        <w:trPr>
          <w:cantSplit/>
          <w:trHeight w:val="4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Начальный номер листа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Последний номер листа</w:t>
            </w:r>
          </w:p>
        </w:tc>
        <w:tc>
          <w:tcPr>
            <w:tcW w:w="3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количество марок на листах, шт.</w:t>
            </w:r>
          </w:p>
        </w:tc>
      </w:tr>
      <w:tr w:rsidR="00530A83" w:rsidTr="00530A83">
        <w:trPr>
          <w:cantSplit/>
          <w:trHeight w:val="78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марок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листа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b/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tabs>
                <w:tab w:val="left" w:pos="-250"/>
                <w:tab w:val="left" w:pos="-108"/>
                <w:tab w:val="left" w:pos="0"/>
                <w:tab w:val="left" w:pos="102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2563577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2563617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2563829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65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2563644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2563645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2716</w:t>
            </w:r>
          </w:p>
        </w:tc>
      </w:tr>
      <w:tr w:rsidR="00530A83" w:rsidTr="00530A83">
        <w:trPr>
          <w:cantSplit/>
          <w:trHeight w:val="65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2563856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2563857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2563664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2563645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2563876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2563857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19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№1904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2563665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2563673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2563645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</w:t>
            </w:r>
          </w:p>
        </w:tc>
      </w:tr>
      <w:tr w:rsidR="00530A83" w:rsidTr="00530A83">
        <w:trPr>
          <w:cantSplit/>
          <w:trHeight w:val="16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2563674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16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2563877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2563857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16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2563886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2563685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2563674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2563897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2563886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№1906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2563686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2563674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2563687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2563898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2563886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2563899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№1907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2563688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2563687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2598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2563713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2563924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2563899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2563925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65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2563716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2536717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530A83" w:rsidTr="00530A83">
        <w:trPr>
          <w:cantSplit/>
          <w:trHeight w:val="65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2563928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2563929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2563713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2563932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2563925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7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№1910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2563721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2563722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2563713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2563723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2563933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2563934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2563925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2563935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№1911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2563724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2563726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2563723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2563727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2563936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2563938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2563935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2563939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65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2563741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2563727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1454</w:t>
            </w:r>
          </w:p>
        </w:tc>
      </w:tr>
      <w:tr w:rsidR="00530A83" w:rsidTr="00530A83">
        <w:trPr>
          <w:cantSplit/>
          <w:trHeight w:val="65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2563953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2563939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2563746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2563958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№1914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2563747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2563751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2563727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2563752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2563959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2563963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2563939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2563964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21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2563758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2563752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</w:tr>
      <w:tr w:rsidR="00530A83" w:rsidTr="00530A83">
        <w:trPr>
          <w:cantSplit/>
          <w:trHeight w:val="21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2563964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№1916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2563759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2563763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2563752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2563764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2563971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2563975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2563964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2563977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43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№1917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2563765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2563785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2563764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</w:t>
            </w:r>
          </w:p>
        </w:tc>
      </w:tr>
      <w:tr w:rsidR="00530A83" w:rsidTr="00530A83">
        <w:trPr>
          <w:cantSplit/>
          <w:trHeight w:val="46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2563786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46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2563978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2563998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2563977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46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2563976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№1918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2563788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2563786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2564000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2563976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2563645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2563857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2563674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2563886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2536717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2563929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rPr>
                <w:sz w:val="28"/>
                <w:szCs w:val="28"/>
              </w:rPr>
            </w:pPr>
          </w:p>
        </w:tc>
      </w:tr>
      <w:tr w:rsidR="00530A83" w:rsidTr="00530A83">
        <w:trPr>
          <w:cantSplit/>
          <w:trHeight w:val="4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A83" w:rsidRDefault="00530A83">
            <w:pPr>
              <w:tabs>
                <w:tab w:val="left" w:pos="1734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A83" w:rsidRDefault="00530A83">
            <w:pPr>
              <w:tabs>
                <w:tab w:val="left" w:pos="1734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0A83" w:rsidRDefault="00530A83">
            <w:pPr>
              <w:tabs>
                <w:tab w:val="left" w:pos="1734"/>
              </w:tabs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21200</w:t>
            </w:r>
          </w:p>
        </w:tc>
      </w:tr>
    </w:tbl>
    <w:p w:rsidR="00530A83" w:rsidRDefault="00530A83" w:rsidP="00530A83">
      <w:pPr>
        <w:pStyle w:val="a3"/>
        <w:jc w:val="center"/>
        <w:rPr>
          <w:szCs w:val="28"/>
        </w:rPr>
      </w:pPr>
    </w:p>
    <w:p w:rsidR="00530A83" w:rsidRDefault="00530A83" w:rsidP="00530A83"/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p w:rsidR="00530A83" w:rsidRDefault="00530A83" w:rsidP="00530A83">
      <w:pPr>
        <w:jc w:val="center"/>
        <w:rPr>
          <w:bCs/>
        </w:rPr>
      </w:pPr>
    </w:p>
    <w:sectPr w:rsidR="00530A83" w:rsidSect="00E8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A83"/>
    <w:rsid w:val="00530A83"/>
    <w:rsid w:val="00E8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8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0A83"/>
    <w:pPr>
      <w:keepNext/>
      <w:ind w:firstLine="567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A8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30A8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30A8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0A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0A8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30A8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30A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530A83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530A83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msonormalbullet2gifbullet1gif">
    <w:name w:val="msonormalbullet2gifbullet1.gif"/>
    <w:basedOn w:val="a"/>
    <w:rsid w:val="00530A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30A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30A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53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30A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0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2021-12-22T11:44:00Z</dcterms:created>
  <dcterms:modified xsi:type="dcterms:W3CDTF">2021-12-22T11:45:00Z</dcterms:modified>
</cp:coreProperties>
</file>